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63172373" w:rsidR="00D309CC" w:rsidRPr="009F0E8D" w:rsidRDefault="00D309CC" w:rsidP="00D46431">
      <w:pPr>
        <w:pStyle w:val="CH"/>
      </w:pPr>
      <w:bookmarkStart w:id="0" w:name="historyclause"/>
      <w:r w:rsidRPr="009F0E8D">
        <w:t>3GPP RAN</w:t>
      </w:r>
      <w:r w:rsidR="00CF20E3" w:rsidRPr="009F0E8D">
        <w:t xml:space="preserve"> </w:t>
      </w:r>
      <w:r w:rsidRPr="009F0E8D">
        <w:t>WG</w:t>
      </w:r>
      <w:r w:rsidR="009F0E8D" w:rsidRPr="009F0E8D">
        <w:t>4</w:t>
      </w:r>
      <w:r w:rsidRPr="009F0E8D">
        <w:t xml:space="preserve"> Meeting #</w:t>
      </w:r>
      <w:r w:rsidR="009F0E8D" w:rsidRPr="009F0E8D">
        <w:t>9</w:t>
      </w:r>
      <w:r w:rsidR="00855D88">
        <w:t>5</w:t>
      </w:r>
      <w:r w:rsidR="00331EE3">
        <w:t>-e</w:t>
      </w:r>
      <w:r w:rsidRPr="009F0E8D">
        <w:tab/>
      </w:r>
      <w:r w:rsidR="00D46431" w:rsidRPr="009F0E8D">
        <w:tab/>
      </w:r>
      <w:r w:rsidR="001E6EB2" w:rsidRPr="001E6EB2">
        <w:t>R4-2006334</w:t>
      </w:r>
    </w:p>
    <w:p w14:paraId="50DC9730" w14:textId="7791A8CE" w:rsidR="00D309CC" w:rsidRPr="00FD166F" w:rsidRDefault="00855D88" w:rsidP="00D46431">
      <w:pPr>
        <w:pStyle w:val="CH"/>
        <w:tabs>
          <w:tab w:val="clear" w:pos="7920"/>
        </w:tabs>
        <w:rPr>
          <w:b w:val="0"/>
        </w:rPr>
      </w:pPr>
      <w:r w:rsidRPr="00AD1007">
        <w:t>Electronic meeting, 25th May – 5th June 2020</w:t>
      </w:r>
      <w:r w:rsidR="00D46431" w:rsidRPr="009F0E8D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52C2CA8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AD084F">
        <w:t>6.1.1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2DCE6B9A" w:rsidR="00D309CC" w:rsidRDefault="00D309CC" w:rsidP="005619F8">
      <w:pPr>
        <w:pStyle w:val="CH"/>
        <w:ind w:left="2268" w:hanging="2268"/>
      </w:pPr>
      <w:r w:rsidRPr="0008103A">
        <w:t>Title:</w:t>
      </w:r>
      <w:r w:rsidRPr="0008103A">
        <w:tab/>
      </w:r>
      <w:r w:rsidR="00D9381C" w:rsidRPr="00D9381C">
        <w:t>NR-U bandwidth classes and wideband operation</w:t>
      </w:r>
    </w:p>
    <w:p w14:paraId="052B1E0C" w14:textId="32C49995" w:rsidR="00104BC6" w:rsidRDefault="00104BC6" w:rsidP="00D309CC">
      <w:pPr>
        <w:pStyle w:val="CH"/>
      </w:pPr>
      <w:r>
        <w:t>WI/SI:</w:t>
      </w:r>
      <w:r>
        <w:tab/>
      </w:r>
      <w:proofErr w:type="spellStart"/>
      <w:r w:rsidR="005619F8" w:rsidRPr="005619F8">
        <w:t>NR_unlic</w:t>
      </w:r>
      <w:proofErr w:type="spellEnd"/>
    </w:p>
    <w:p w14:paraId="6C6D1281" w14:textId="182CACBE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1729FA">
        <w:t>Rel-</w:t>
      </w:r>
      <w:r w:rsidR="001729FA" w:rsidRPr="001729FA">
        <w:t>16</w:t>
      </w:r>
    </w:p>
    <w:p w14:paraId="2E4E044D" w14:textId="1E179A88" w:rsidR="00D309CC" w:rsidRDefault="00D309CC" w:rsidP="00D309CC">
      <w:pPr>
        <w:pStyle w:val="CH"/>
      </w:pPr>
      <w:r>
        <w:t>Document for:</w:t>
      </w:r>
      <w:r>
        <w:tab/>
      </w:r>
      <w:r w:rsidR="00331EE3">
        <w:t>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6130B09" w14:textId="69B7A4F3" w:rsidR="00FE4478" w:rsidRDefault="00FE4478" w:rsidP="008E7986">
      <w:r>
        <w:t xml:space="preserve">NR-U WI </w:t>
      </w:r>
      <w:r w:rsidR="00655891">
        <w:fldChar w:fldCharType="begin"/>
      </w:r>
      <w:r w:rsidR="00655891">
        <w:instrText xml:space="preserve"> REF _Ref40269250 \r \h </w:instrText>
      </w:r>
      <w:r w:rsidR="00655891">
        <w:fldChar w:fldCharType="separate"/>
      </w:r>
      <w:r w:rsidR="00655891">
        <w:t>[1]</w:t>
      </w:r>
      <w:r w:rsidR="00655891">
        <w:fldChar w:fldCharType="end"/>
      </w:r>
      <w:r w:rsidR="00655891">
        <w:t xml:space="preserve"> </w:t>
      </w:r>
      <w:r>
        <w:t xml:space="preserve">aims at specifying how the NR technology can be used on the unlicensed spectrum thus </w:t>
      </w:r>
      <w:r w:rsidR="00D9381C">
        <w:t>offering operators more resources in frequency bands, such as</w:t>
      </w:r>
      <w:r>
        <w:t xml:space="preserve"> </w:t>
      </w:r>
      <w:r w:rsidR="00441776">
        <w:t>5GHz</w:t>
      </w:r>
      <w:r w:rsidR="00D9381C">
        <w:t xml:space="preserve"> and 6GHz. Unlike licensed bands, co-existence with other technologies and systems must be ensured in unlicensed spectrum, for which a common procedure known</w:t>
      </w:r>
      <w:r w:rsidR="00441776">
        <w:t xml:space="preserve"> </w:t>
      </w:r>
      <w:r w:rsidR="00D9381C">
        <w:t xml:space="preserve">as listen-before-talk (LBT) is used and which is performed individually for every LBT sub-band of 20MHz whenever a transmission takes place. To optimise NR-U performance over larger channel bandwidths, a new feature called wide-band operation was devised, which enables larger channel bandwidths (e.g. </w:t>
      </w:r>
      <w:proofErr w:type="gramStart"/>
      <w:r w:rsidR="00D9381C">
        <w:t>40..</w:t>
      </w:r>
      <w:proofErr w:type="gramEnd"/>
      <w:r w:rsidR="00D9381C">
        <w:t xml:space="preserve">80MHz) and at the same time allows for performing the LBT procedure in 20MHz sub-bands. </w:t>
      </w:r>
      <w:r w:rsidR="008D4A90">
        <w:t>At the same time</w:t>
      </w:r>
      <w:r w:rsidR="00D9381C">
        <w:t xml:space="preserve">, a UE supporting NR-U still may need to support carrier-aggregation because wide-band operation could be optional and/or the network may decide to use a combination of carrier-aggregation and wide-band operation for larger channel bandwidths. As an example, 80MHz channel can be configured as 40+40MHz CA, whereupon wide-band operation will be naturally used within each of the 40MHz channels. </w:t>
      </w:r>
    </w:p>
    <w:p w14:paraId="06E92CC7" w14:textId="1C0C5292" w:rsidR="008E7986" w:rsidRDefault="00655891" w:rsidP="008E7986">
      <w:r>
        <w:t xml:space="preserve">During the </w:t>
      </w:r>
      <w:r w:rsidR="00D9381C">
        <w:t xml:space="preserve">previous </w:t>
      </w:r>
      <w:r>
        <w:t>RAN</w:t>
      </w:r>
      <w:r w:rsidR="00D9381C">
        <w:t xml:space="preserve"> WG</w:t>
      </w:r>
      <w:r>
        <w:t>4 meeting</w:t>
      </w:r>
      <w:r w:rsidR="00D9381C">
        <w:t>s</w:t>
      </w:r>
      <w:r>
        <w:t xml:space="preserve">, </w:t>
      </w:r>
      <w:r w:rsidR="00D9381C">
        <w:t>some of open questions for both wide-band operation and carrier aggregation for NR-U were discussed, but they never were tackled together</w:t>
      </w:r>
      <w:r>
        <w:t xml:space="preserve">. </w:t>
      </w:r>
      <w:r w:rsidR="00D9381C">
        <w:t>Thus, i</w:t>
      </w:r>
      <w:r>
        <w:t xml:space="preserve">n this discussion paper we </w:t>
      </w:r>
      <w:r w:rsidR="00D9381C">
        <w:t>raise several new issues that concern both wide-band operation and carrier-aggregation</w:t>
      </w:r>
      <w:r>
        <w:t>.</w:t>
      </w:r>
      <w:r w:rsidR="00DE7963">
        <w:t xml:space="preserve"> </w:t>
      </w:r>
    </w:p>
    <w:p w14:paraId="3A67921B" w14:textId="6A971C26" w:rsidR="008E7986" w:rsidRDefault="008E7986" w:rsidP="008E7986">
      <w:pPr>
        <w:pStyle w:val="Heading1"/>
      </w:pPr>
      <w:r>
        <w:t>2</w:t>
      </w:r>
      <w:r>
        <w:tab/>
      </w:r>
      <w:r w:rsidR="00D9381C">
        <w:t xml:space="preserve">Wide-band and carrier-aggregation </w:t>
      </w:r>
      <w:r w:rsidR="00AD084F">
        <w:t xml:space="preserve"> </w:t>
      </w:r>
    </w:p>
    <w:p w14:paraId="5F6E4152" w14:textId="0FA4BEC3" w:rsidR="004B5392" w:rsidRDefault="004B5392" w:rsidP="00602A59">
      <w:r>
        <w:t>As mentioned in the Introduction part, wide-band operation allows for configuring a larger channel bandwidth that spans over several 20MHz LBT sub-bands. The premise idea is that if the LBT procedure fails in one of the sub-bands, the data still can be scheduled in other sub-bands. Otherwise, the range of contiguous spectrum can be used for data including guard bands. Referring to Figure 1 below, if both LBT sub-band#1 and #2 succeed, then data can be scheduled over both sub-bands including intra-carrier guard band between them.</w:t>
      </w:r>
    </w:p>
    <w:p w14:paraId="20F062D2" w14:textId="77777777" w:rsidR="004B5392" w:rsidRDefault="004B5392" w:rsidP="004B5392">
      <w:pPr>
        <w:jc w:val="center"/>
      </w:pPr>
      <w:r>
        <w:rPr>
          <w:noProof/>
        </w:rPr>
        <w:drawing>
          <wp:inline distT="0" distB="0" distL="0" distR="0" wp14:anchorId="7DEAC823" wp14:editId="330CD802">
            <wp:extent cx="4579952" cy="57671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se2_60_20_20_20.eps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7488" cy="590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17D7D" w14:textId="711E4E2E" w:rsidR="004B5392" w:rsidRDefault="004B5392" w:rsidP="004B5392">
      <w:pPr>
        <w:jc w:val="center"/>
      </w:pPr>
      <w:r>
        <w:rPr>
          <w:noProof/>
        </w:rPr>
        <w:drawing>
          <wp:inline distT="0" distB="0" distL="0" distR="0" wp14:anchorId="0EC790C8" wp14:editId="190A0A25">
            <wp:extent cx="4556098" cy="573706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se3_60_20_40.eps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1141" cy="598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1214A" w14:textId="44923823" w:rsidR="004B5392" w:rsidRDefault="004B5392" w:rsidP="004B5392">
      <w:pPr>
        <w:pStyle w:val="TF"/>
      </w:pPr>
      <w:r>
        <w:t xml:space="preserve">Figure 1: Exemplary wide-band operation for 60MHz channel. </w:t>
      </w:r>
    </w:p>
    <w:p w14:paraId="4B095A60" w14:textId="3B15C812" w:rsidR="00602A59" w:rsidRPr="00602A59" w:rsidRDefault="004B5392" w:rsidP="00602A59">
      <w:r>
        <w:t>Nevertheless, it should be noted that wide-band operation requires additional functionality from the UE and thus we do not anticipate that it will be the mandatory feature</w:t>
      </w:r>
      <w:r w:rsidR="00602A59" w:rsidRPr="00602A59">
        <w:t>.</w:t>
      </w:r>
      <w:r>
        <w:t xml:space="preserve"> As the logical outcome, the maximum channel bandwidth supported by the UE in this case would be 20MHz because larger channel bandwidth would require wide-band feature.</w:t>
      </w:r>
    </w:p>
    <w:p w14:paraId="786025DF" w14:textId="5E81CD82" w:rsidR="004B5392" w:rsidRDefault="004B5392" w:rsidP="004B5392">
      <w:pPr>
        <w:pStyle w:val="Proposal"/>
      </w:pPr>
      <w:bookmarkStart w:id="1" w:name="_Toc40291854"/>
      <w:bookmarkStart w:id="2" w:name="_Toc40355893"/>
      <w:bookmarkStart w:id="3" w:name="_Toc40444409"/>
      <w:r>
        <w:t>Proposal 1a:</w:t>
      </w:r>
      <w:r>
        <w:tab/>
        <w:t>Wide-band operation is an optional feature for the UE.</w:t>
      </w:r>
      <w:bookmarkEnd w:id="1"/>
      <w:bookmarkEnd w:id="2"/>
      <w:bookmarkEnd w:id="3"/>
      <w:r>
        <w:t xml:space="preserve"> </w:t>
      </w:r>
    </w:p>
    <w:p w14:paraId="1B99D09A" w14:textId="3FDCDAC2" w:rsidR="004B5392" w:rsidRDefault="004B5392" w:rsidP="004B5392">
      <w:pPr>
        <w:pStyle w:val="Proposal"/>
      </w:pPr>
      <w:bookmarkStart w:id="4" w:name="_Toc40355894"/>
      <w:bookmarkStart w:id="5" w:name="_Toc40444410"/>
      <w:r>
        <w:t>Proposal 1b:</w:t>
      </w:r>
      <w:r>
        <w:tab/>
        <w:t>Without wide-band operation, the maximum channel bandwidth supported by a UE is 20MHz.</w:t>
      </w:r>
      <w:bookmarkEnd w:id="4"/>
      <w:bookmarkEnd w:id="5"/>
    </w:p>
    <w:p w14:paraId="176E5243" w14:textId="40DCFAB4" w:rsidR="00655891" w:rsidRDefault="00655891" w:rsidP="00655891"/>
    <w:p w14:paraId="63C1A770" w14:textId="2537E1C7" w:rsidR="00655891" w:rsidRDefault="00655891" w:rsidP="00655891"/>
    <w:p w14:paraId="64C8E380" w14:textId="618312AB" w:rsidR="00655891" w:rsidRDefault="00B169CD" w:rsidP="00BD401E">
      <w:pPr>
        <w:pStyle w:val="CommentText"/>
      </w:pPr>
      <w:r>
        <w:t xml:space="preserve">If a UE does not support wide-band operation for NR-U, then the most obvious solution to utilise more spectrum would be carrier-aggregation, i.e. aggregation of two or more 20MHz carriers. As discussed earlier in RAN WG4, aggregating two 20MHz carriers can be accomplished with the bandwidth class B, but aggregation of </w:t>
      </w:r>
      <w:proofErr w:type="gramStart"/>
      <w:r>
        <w:t>3..</w:t>
      </w:r>
      <w:proofErr w:type="gramEnd"/>
      <w:r>
        <w:t xml:space="preserve">5 carrier requires new bandwidth classes. </w:t>
      </w:r>
      <w:r w:rsidR="00655891">
        <w:t xml:space="preserve"> </w:t>
      </w:r>
      <w:r w:rsidR="00FA442A">
        <w:t xml:space="preserve">As elaborated in </w:t>
      </w:r>
      <w:r w:rsidR="00FA442A">
        <w:fldChar w:fldCharType="begin"/>
      </w:r>
      <w:r w:rsidR="00FA442A">
        <w:instrText xml:space="preserve"> REF _Ref40356107 \r \h </w:instrText>
      </w:r>
      <w:r w:rsidR="00FA442A">
        <w:fldChar w:fldCharType="separate"/>
      </w:r>
      <w:r w:rsidR="00FA442A">
        <w:t>[2]</w:t>
      </w:r>
      <w:r w:rsidR="00FA442A">
        <w:fldChar w:fldCharType="end"/>
      </w:r>
      <w:r w:rsidR="00FA442A">
        <w:t>, three new bandwidth classes should be added, details of which are also presented in the table below.</w:t>
      </w:r>
      <w:r w:rsidR="00655891">
        <w:t xml:space="preserve"> </w:t>
      </w:r>
    </w:p>
    <w:p w14:paraId="40EFABE7" w14:textId="4EC9BAD5" w:rsidR="00FA442A" w:rsidRDefault="00FA442A" w:rsidP="00FA442A">
      <w:pPr>
        <w:pStyle w:val="TH"/>
      </w:pPr>
      <w:r>
        <w:t>Table 1: Summary of new bandwidth classes for NR-U.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275"/>
        <w:gridCol w:w="2127"/>
        <w:gridCol w:w="2126"/>
        <w:gridCol w:w="992"/>
      </w:tblGrid>
      <w:tr w:rsidR="00FA442A" w14:paraId="09FE6226" w14:textId="1060F9CF" w:rsidTr="00230DA7">
        <w:tc>
          <w:tcPr>
            <w:tcW w:w="1275" w:type="dxa"/>
          </w:tcPr>
          <w:p w14:paraId="587D78BD" w14:textId="136D3D4A" w:rsidR="00FA442A" w:rsidRDefault="00FA442A" w:rsidP="00FA442A">
            <w:pPr>
              <w:pStyle w:val="TAH"/>
            </w:pPr>
            <w:r>
              <w:t>Bandwidth class</w:t>
            </w:r>
          </w:p>
        </w:tc>
        <w:tc>
          <w:tcPr>
            <w:tcW w:w="2127" w:type="dxa"/>
          </w:tcPr>
          <w:p w14:paraId="608DCD90" w14:textId="72075656" w:rsidR="00FA442A" w:rsidRDefault="00FA442A" w:rsidP="00FA442A">
            <w:pPr>
              <w:pStyle w:val="TAH"/>
            </w:pPr>
            <w:r>
              <w:t xml:space="preserve">Minimum </w:t>
            </w:r>
            <w:r w:rsidR="00230DA7">
              <w:t xml:space="preserve">aggregated </w:t>
            </w:r>
            <w:r>
              <w:t>bandwidth (MHz)</w:t>
            </w:r>
          </w:p>
        </w:tc>
        <w:tc>
          <w:tcPr>
            <w:tcW w:w="2126" w:type="dxa"/>
          </w:tcPr>
          <w:p w14:paraId="3B140486" w14:textId="1FADDE3A" w:rsidR="00FA442A" w:rsidRDefault="00FA442A" w:rsidP="00FA442A">
            <w:pPr>
              <w:pStyle w:val="TAH"/>
            </w:pPr>
            <w:r>
              <w:t xml:space="preserve">Maximum </w:t>
            </w:r>
            <w:r w:rsidR="00230DA7">
              <w:t xml:space="preserve">aggregated </w:t>
            </w:r>
            <w:r>
              <w:t>bandwidth (MHz)</w:t>
            </w:r>
          </w:p>
        </w:tc>
        <w:tc>
          <w:tcPr>
            <w:tcW w:w="992" w:type="dxa"/>
          </w:tcPr>
          <w:p w14:paraId="735C3BAF" w14:textId="1619F1CB" w:rsidR="00FA442A" w:rsidRDefault="00FA442A" w:rsidP="00FA442A">
            <w:pPr>
              <w:pStyle w:val="TAH"/>
            </w:pPr>
            <w:r>
              <w:t>Number of CC</w:t>
            </w:r>
          </w:p>
        </w:tc>
      </w:tr>
      <w:tr w:rsidR="00FA442A" w14:paraId="0CA20B83" w14:textId="346A9F56" w:rsidTr="00230DA7">
        <w:tc>
          <w:tcPr>
            <w:tcW w:w="1275" w:type="dxa"/>
          </w:tcPr>
          <w:p w14:paraId="7F07FAA2" w14:textId="66F4C6C2" w:rsidR="00FA442A" w:rsidRDefault="00FA442A" w:rsidP="00FA442A">
            <w:pPr>
              <w:pStyle w:val="TAC"/>
            </w:pPr>
            <w:r>
              <w:t>M</w:t>
            </w:r>
          </w:p>
        </w:tc>
        <w:tc>
          <w:tcPr>
            <w:tcW w:w="2127" w:type="dxa"/>
          </w:tcPr>
          <w:p w14:paraId="702706D8" w14:textId="4F35440D" w:rsidR="00FA442A" w:rsidRDefault="00FA442A" w:rsidP="00FA442A">
            <w:pPr>
              <w:pStyle w:val="TAC"/>
            </w:pPr>
            <w:r>
              <w:t>50</w:t>
            </w:r>
          </w:p>
        </w:tc>
        <w:tc>
          <w:tcPr>
            <w:tcW w:w="2126" w:type="dxa"/>
          </w:tcPr>
          <w:p w14:paraId="243E7F30" w14:textId="30CE8F01" w:rsidR="00FA442A" w:rsidRDefault="00FA442A" w:rsidP="00FA442A">
            <w:pPr>
              <w:pStyle w:val="TAC"/>
            </w:pPr>
            <w:r>
              <w:t>180</w:t>
            </w:r>
          </w:p>
        </w:tc>
        <w:tc>
          <w:tcPr>
            <w:tcW w:w="992" w:type="dxa"/>
          </w:tcPr>
          <w:p w14:paraId="796F7C55" w14:textId="7C5DAED7" w:rsidR="00FA442A" w:rsidRDefault="00FA442A" w:rsidP="00FA442A">
            <w:pPr>
              <w:pStyle w:val="TAC"/>
            </w:pPr>
            <w:r>
              <w:t>3</w:t>
            </w:r>
          </w:p>
        </w:tc>
      </w:tr>
      <w:tr w:rsidR="00FA442A" w14:paraId="42344C73" w14:textId="4501BDC4" w:rsidTr="00230DA7">
        <w:tc>
          <w:tcPr>
            <w:tcW w:w="1275" w:type="dxa"/>
          </w:tcPr>
          <w:p w14:paraId="3FA06779" w14:textId="5779E4F4" w:rsidR="00FA442A" w:rsidRDefault="00FA442A" w:rsidP="00FA442A">
            <w:pPr>
              <w:pStyle w:val="TAC"/>
            </w:pPr>
            <w:r>
              <w:t>N</w:t>
            </w:r>
          </w:p>
        </w:tc>
        <w:tc>
          <w:tcPr>
            <w:tcW w:w="2127" w:type="dxa"/>
          </w:tcPr>
          <w:p w14:paraId="07AE605B" w14:textId="608C1499" w:rsidR="00FA442A" w:rsidRDefault="00FA442A" w:rsidP="00FA442A">
            <w:pPr>
              <w:pStyle w:val="TAC"/>
            </w:pPr>
            <w:r>
              <w:t>80</w:t>
            </w:r>
          </w:p>
        </w:tc>
        <w:tc>
          <w:tcPr>
            <w:tcW w:w="2126" w:type="dxa"/>
          </w:tcPr>
          <w:p w14:paraId="47B33CE7" w14:textId="37B16F57" w:rsidR="00FA442A" w:rsidRDefault="00FA442A" w:rsidP="00FA442A">
            <w:pPr>
              <w:pStyle w:val="TAC"/>
            </w:pPr>
            <w:r>
              <w:t>240</w:t>
            </w:r>
          </w:p>
        </w:tc>
        <w:tc>
          <w:tcPr>
            <w:tcW w:w="992" w:type="dxa"/>
          </w:tcPr>
          <w:p w14:paraId="6ED9EFD4" w14:textId="310973DB" w:rsidR="00FA442A" w:rsidRDefault="00FA442A" w:rsidP="00FA442A">
            <w:pPr>
              <w:pStyle w:val="TAC"/>
            </w:pPr>
            <w:r>
              <w:t>4</w:t>
            </w:r>
          </w:p>
        </w:tc>
      </w:tr>
      <w:tr w:rsidR="00FA442A" w14:paraId="3E6724C1" w14:textId="39D279DF" w:rsidTr="00230DA7">
        <w:tc>
          <w:tcPr>
            <w:tcW w:w="1275" w:type="dxa"/>
          </w:tcPr>
          <w:p w14:paraId="6B65AC25" w14:textId="7A5154BB" w:rsidR="00FA442A" w:rsidRDefault="00FA442A" w:rsidP="00FA442A">
            <w:pPr>
              <w:pStyle w:val="TAC"/>
            </w:pPr>
            <w:r>
              <w:t>O</w:t>
            </w:r>
          </w:p>
        </w:tc>
        <w:tc>
          <w:tcPr>
            <w:tcW w:w="2127" w:type="dxa"/>
          </w:tcPr>
          <w:p w14:paraId="3689F583" w14:textId="42F823A4" w:rsidR="00FA442A" w:rsidRDefault="00FA442A" w:rsidP="00FA442A">
            <w:pPr>
              <w:pStyle w:val="TAC"/>
            </w:pPr>
            <w:r>
              <w:t>100</w:t>
            </w:r>
          </w:p>
        </w:tc>
        <w:tc>
          <w:tcPr>
            <w:tcW w:w="2126" w:type="dxa"/>
          </w:tcPr>
          <w:p w14:paraId="659C75FC" w14:textId="4658A60F" w:rsidR="00FA442A" w:rsidRDefault="00FA442A" w:rsidP="00FA442A">
            <w:pPr>
              <w:pStyle w:val="TAC"/>
            </w:pPr>
            <w:r>
              <w:t>300</w:t>
            </w:r>
          </w:p>
        </w:tc>
        <w:tc>
          <w:tcPr>
            <w:tcW w:w="992" w:type="dxa"/>
          </w:tcPr>
          <w:p w14:paraId="5A9A428B" w14:textId="52AE54E0" w:rsidR="00FA442A" w:rsidRDefault="00FA442A" w:rsidP="00FA442A">
            <w:pPr>
              <w:pStyle w:val="TAC"/>
            </w:pPr>
            <w:r>
              <w:t>5</w:t>
            </w:r>
          </w:p>
        </w:tc>
      </w:tr>
    </w:tbl>
    <w:p w14:paraId="6D1175ED" w14:textId="77777777" w:rsidR="00655891" w:rsidRDefault="00655891" w:rsidP="008E7986"/>
    <w:p w14:paraId="3E761E27" w14:textId="04FAF7AF" w:rsidR="00FA442A" w:rsidRDefault="00FA442A" w:rsidP="00FA442A">
      <w:pPr>
        <w:pStyle w:val="Proposal"/>
      </w:pPr>
      <w:bookmarkStart w:id="6" w:name="_Toc40291855"/>
      <w:bookmarkStart w:id="7" w:name="_Toc40355895"/>
      <w:bookmarkStart w:id="8" w:name="_Toc40444411"/>
      <w:r>
        <w:t>Proposal 2:</w:t>
      </w:r>
      <w:r>
        <w:tab/>
        <w:t>New bandwidth classes should be added to enable aggregation of 3-5 20MHz carriers.</w:t>
      </w:r>
      <w:bookmarkEnd w:id="6"/>
      <w:bookmarkEnd w:id="7"/>
      <w:bookmarkEnd w:id="8"/>
    </w:p>
    <w:p w14:paraId="3104C4A6" w14:textId="77777777" w:rsidR="00FA442A" w:rsidRDefault="00FA442A" w:rsidP="00FA442A"/>
    <w:p w14:paraId="77D81FA2" w14:textId="13A9C0A8" w:rsidR="00164AF9" w:rsidRDefault="00FA442A" w:rsidP="008E7986">
      <w:r>
        <w:t>It is also worth noting that even though carrier-aggregation and new NR-U bandwidth classes can be construed as an alternative to the wide-band operation, we do see them as complementary features. As an example, the network may decide to configure a UE with 40+40+40MHz combination which will require both wide-band operation and new bandwidth classes. However, if wide-band operation is not supported by the UE, the maximum aggregated bandwidth will be limited by the number of 20MHz component carriers that a UE can support.</w:t>
      </w:r>
      <w:r w:rsidR="00BC4416">
        <w:t xml:space="preserve"> </w:t>
      </w:r>
      <w:r w:rsidR="00DD275E">
        <w:t xml:space="preserve">  </w:t>
      </w:r>
    </w:p>
    <w:p w14:paraId="794EB984" w14:textId="6F687B9F" w:rsidR="00655891" w:rsidRDefault="00D9381C" w:rsidP="006E3C1C">
      <w:pPr>
        <w:pStyle w:val="Proposal"/>
      </w:pPr>
      <w:bookmarkStart w:id="9" w:name="_Toc40355896"/>
      <w:bookmarkStart w:id="10" w:name="_Toc40281077"/>
      <w:bookmarkStart w:id="11" w:name="_Toc40444412"/>
      <w:r>
        <w:t>Proposal 3:</w:t>
      </w:r>
      <w:r>
        <w:tab/>
        <w:t>For all bandwidth classes</w:t>
      </w:r>
      <w:r w:rsidR="008D4A90">
        <w:t xml:space="preserve"> supported by the NR-U UE</w:t>
      </w:r>
      <w:r>
        <w:t xml:space="preserve">, the </w:t>
      </w:r>
      <w:r w:rsidRPr="00FA442A">
        <w:rPr>
          <w:i/>
          <w:iCs/>
        </w:rPr>
        <w:t>maximum</w:t>
      </w:r>
      <w:r>
        <w:t xml:space="preserve"> </w:t>
      </w:r>
      <w:r w:rsidR="008D4A90">
        <w:t>aggregated</w:t>
      </w:r>
      <w:r>
        <w:t xml:space="preserve"> bandwidth depends on whether a UE supports wide-band operation or not.</w:t>
      </w:r>
      <w:bookmarkEnd w:id="9"/>
      <w:bookmarkEnd w:id="11"/>
      <w:r>
        <w:t xml:space="preserve">  </w:t>
      </w:r>
      <w:r w:rsidR="007317A7">
        <w:t xml:space="preserve"> </w:t>
      </w:r>
      <w:bookmarkEnd w:id="10"/>
    </w:p>
    <w:p w14:paraId="1FC4FB21" w14:textId="0AAA48C7" w:rsidR="00D56A52" w:rsidRDefault="00D56A52" w:rsidP="003E7753">
      <w:pPr>
        <w:pStyle w:val="Proposal"/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01A58A1" w14:textId="0DD00C9E" w:rsidR="00E72324" w:rsidRDefault="00515AE4" w:rsidP="00E72324">
      <w:r>
        <w:t>In this discussion paper we have presented our f</w:t>
      </w:r>
      <w:bookmarkStart w:id="12" w:name="_GoBack"/>
      <w:bookmarkEnd w:id="12"/>
      <w:r>
        <w:t xml:space="preserve">urther considerations for </w:t>
      </w:r>
      <w:r w:rsidR="00194772">
        <w:t>NR-U raising some of the open issues for possible scenarios with wide-band operation and carrier aggregation</w:t>
      </w:r>
      <w:r>
        <w:t>.</w:t>
      </w:r>
      <w:r w:rsidR="00194772">
        <w:t xml:space="preserve"> As a summary of our paper we propose:</w:t>
      </w:r>
    </w:p>
    <w:p w14:paraId="4EEFAA73" w14:textId="77777777" w:rsidR="008D4A90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en-GB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8D4A90">
        <w:rPr>
          <w:noProof/>
        </w:rPr>
        <w:t>Proposal 1a:</w:t>
      </w:r>
      <w:r w:rsidR="008D4A90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en-GB"/>
        </w:rPr>
        <w:tab/>
      </w:r>
      <w:r w:rsidR="008D4A90">
        <w:rPr>
          <w:noProof/>
        </w:rPr>
        <w:t>Wide-band operation is an optional feature for the UE.</w:t>
      </w:r>
    </w:p>
    <w:p w14:paraId="5B6AE567" w14:textId="77777777" w:rsidR="008D4A90" w:rsidRDefault="008D4A9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en-GB"/>
        </w:rPr>
      </w:pPr>
      <w:r>
        <w:rPr>
          <w:noProof/>
        </w:rPr>
        <w:t>Proposal 1b: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en-GB"/>
        </w:rPr>
        <w:tab/>
      </w:r>
      <w:r>
        <w:rPr>
          <w:noProof/>
        </w:rPr>
        <w:t>Without wide-band operation, the maximum channel bandwidth supported by a UE is 20MHz.</w:t>
      </w:r>
    </w:p>
    <w:p w14:paraId="2EEF8247" w14:textId="77777777" w:rsidR="008D4A90" w:rsidRDefault="008D4A9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en-GB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en-GB"/>
        </w:rPr>
        <w:tab/>
      </w:r>
      <w:r>
        <w:rPr>
          <w:noProof/>
        </w:rPr>
        <w:t>New bandwidth classes should be added to enable aggregation of 3-5 20MHz carriers.</w:t>
      </w:r>
    </w:p>
    <w:p w14:paraId="356599D0" w14:textId="77777777" w:rsidR="008D4A90" w:rsidRDefault="008D4A9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en-GB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en-GB"/>
        </w:rPr>
        <w:tab/>
      </w:r>
      <w:r>
        <w:rPr>
          <w:noProof/>
        </w:rPr>
        <w:t xml:space="preserve">For all bandwidth classes supported by the NR-U UE, the </w:t>
      </w:r>
      <w:r w:rsidRPr="00166BD6">
        <w:rPr>
          <w:i/>
          <w:iCs/>
          <w:noProof/>
        </w:rPr>
        <w:t>maximum</w:t>
      </w:r>
      <w:r>
        <w:rPr>
          <w:noProof/>
        </w:rPr>
        <w:t xml:space="preserve"> aggregated bandwidth depends on whether a UE supports wide-band operation or not.</w:t>
      </w:r>
    </w:p>
    <w:p w14:paraId="05CC6F0A" w14:textId="15CA86FF" w:rsidR="005E69AE" w:rsidRDefault="0062595A" w:rsidP="009F6A53">
      <w:r>
        <w:rPr>
          <w:b/>
          <w:bCs/>
        </w:rPr>
        <w:fldChar w:fldCharType="end"/>
      </w:r>
    </w:p>
    <w:p w14:paraId="4D133CD8" w14:textId="09FDFF7E" w:rsidR="00276EE4" w:rsidRPr="003A0483" w:rsidRDefault="005E69AE" w:rsidP="0034070F">
      <w:pPr>
        <w:pStyle w:val="Heading1"/>
      </w:pPr>
      <w:r>
        <w:t>4</w:t>
      </w:r>
      <w:r>
        <w:tab/>
        <w:t>References</w:t>
      </w:r>
    </w:p>
    <w:p w14:paraId="02656AEC" w14:textId="308E8ABE" w:rsidR="005E69AE" w:rsidRDefault="003251B9" w:rsidP="00276EE4">
      <w:pPr>
        <w:pStyle w:val="EX"/>
      </w:pPr>
      <w:bookmarkStart w:id="13" w:name="_Ref13820109"/>
      <w:bookmarkStart w:id="14" w:name="_Ref37077689"/>
      <w:bookmarkStart w:id="15" w:name="_Ref40269250"/>
      <w:r w:rsidRPr="003251B9">
        <w:t>RP-1912926</w:t>
      </w:r>
      <w:r w:rsidR="00667164">
        <w:t>, "</w:t>
      </w:r>
      <w:r w:rsidRPr="003251B9">
        <w:t xml:space="preserve">WID on NR-based Access to Unlicensed Spectrum </w:t>
      </w:r>
      <w:r w:rsidR="00667164">
        <w:t xml:space="preserve">", </w:t>
      </w:r>
      <w:bookmarkEnd w:id="13"/>
      <w:bookmarkEnd w:id="14"/>
      <w:r>
        <w:t>Qualcomm Inc.</w:t>
      </w:r>
      <w:bookmarkEnd w:id="15"/>
    </w:p>
    <w:p w14:paraId="5585F3B1" w14:textId="34BE177D" w:rsidR="00655891" w:rsidRDefault="00FA442A" w:rsidP="00276EE4">
      <w:pPr>
        <w:pStyle w:val="EX"/>
      </w:pPr>
      <w:bookmarkStart w:id="16" w:name="_Ref40356107"/>
      <w:r w:rsidRPr="00FA442A">
        <w:t>R4-2005220</w:t>
      </w:r>
      <w:r>
        <w:t>, "</w:t>
      </w:r>
      <w:r w:rsidRPr="00FA442A">
        <w:t>WF on new intra-band BW classes</w:t>
      </w:r>
      <w:r>
        <w:t>", Ericsson</w:t>
      </w:r>
      <w:bookmarkEnd w:id="16"/>
    </w:p>
    <w:bookmarkEnd w:id="0"/>
    <w:p w14:paraId="2C7BC95E" w14:textId="77777777" w:rsidR="00080512" w:rsidRDefault="00080512"/>
    <w:sectPr w:rsidR="00080512" w:rsidSect="00114E2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65410" w14:textId="77777777" w:rsidR="00DC2F94" w:rsidRDefault="00DC2F94">
      <w:r>
        <w:separator/>
      </w:r>
    </w:p>
  </w:endnote>
  <w:endnote w:type="continuationSeparator" w:id="0">
    <w:p w14:paraId="028966DD" w14:textId="77777777" w:rsidR="00DC2F94" w:rsidRDefault="00DC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8ADC5" w14:textId="77777777" w:rsidR="00DC2F94" w:rsidRDefault="00DC2F94">
      <w:r>
        <w:separator/>
      </w:r>
    </w:p>
  </w:footnote>
  <w:footnote w:type="continuationSeparator" w:id="0">
    <w:p w14:paraId="350601D7" w14:textId="77777777" w:rsidR="00DC2F94" w:rsidRDefault="00DC2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D52"/>
    <w:rsid w:val="00031ACB"/>
    <w:rsid w:val="00033397"/>
    <w:rsid w:val="00040095"/>
    <w:rsid w:val="00051834"/>
    <w:rsid w:val="00054A22"/>
    <w:rsid w:val="00062023"/>
    <w:rsid w:val="000644EB"/>
    <w:rsid w:val="000655A6"/>
    <w:rsid w:val="0007374F"/>
    <w:rsid w:val="000741FE"/>
    <w:rsid w:val="00075997"/>
    <w:rsid w:val="00080512"/>
    <w:rsid w:val="00087C63"/>
    <w:rsid w:val="000A365D"/>
    <w:rsid w:val="000A68F3"/>
    <w:rsid w:val="000B1FA3"/>
    <w:rsid w:val="000C47C3"/>
    <w:rsid w:val="000C7305"/>
    <w:rsid w:val="000D58AB"/>
    <w:rsid w:val="000E4B59"/>
    <w:rsid w:val="001018E4"/>
    <w:rsid w:val="00104BC6"/>
    <w:rsid w:val="00114E2C"/>
    <w:rsid w:val="001247AA"/>
    <w:rsid w:val="001265D9"/>
    <w:rsid w:val="00126CA9"/>
    <w:rsid w:val="001300D2"/>
    <w:rsid w:val="00133525"/>
    <w:rsid w:val="001462A8"/>
    <w:rsid w:val="00164AF9"/>
    <w:rsid w:val="00165EE6"/>
    <w:rsid w:val="001729FA"/>
    <w:rsid w:val="00182CE6"/>
    <w:rsid w:val="00194772"/>
    <w:rsid w:val="001A4C42"/>
    <w:rsid w:val="001C21C3"/>
    <w:rsid w:val="001D02C2"/>
    <w:rsid w:val="001E4F49"/>
    <w:rsid w:val="001E6EB2"/>
    <w:rsid w:val="001F0C1D"/>
    <w:rsid w:val="001F1132"/>
    <w:rsid w:val="001F168B"/>
    <w:rsid w:val="001F1EBD"/>
    <w:rsid w:val="00212BAE"/>
    <w:rsid w:val="00230DA7"/>
    <w:rsid w:val="00231873"/>
    <w:rsid w:val="002347A2"/>
    <w:rsid w:val="002427D9"/>
    <w:rsid w:val="00247926"/>
    <w:rsid w:val="002675F0"/>
    <w:rsid w:val="00276EE4"/>
    <w:rsid w:val="00294E47"/>
    <w:rsid w:val="002A52AA"/>
    <w:rsid w:val="002B6339"/>
    <w:rsid w:val="002E00EE"/>
    <w:rsid w:val="002E555B"/>
    <w:rsid w:val="002F6B48"/>
    <w:rsid w:val="00314FF2"/>
    <w:rsid w:val="003172DC"/>
    <w:rsid w:val="003251B9"/>
    <w:rsid w:val="00330A27"/>
    <w:rsid w:val="00331EE3"/>
    <w:rsid w:val="0034052F"/>
    <w:rsid w:val="0034070F"/>
    <w:rsid w:val="0035462D"/>
    <w:rsid w:val="003765B8"/>
    <w:rsid w:val="003A0483"/>
    <w:rsid w:val="003C3971"/>
    <w:rsid w:val="003E2F3F"/>
    <w:rsid w:val="003E7753"/>
    <w:rsid w:val="00405DE0"/>
    <w:rsid w:val="0040718D"/>
    <w:rsid w:val="00423334"/>
    <w:rsid w:val="00425DC6"/>
    <w:rsid w:val="004345EC"/>
    <w:rsid w:val="00441776"/>
    <w:rsid w:val="004516C7"/>
    <w:rsid w:val="004826A9"/>
    <w:rsid w:val="00494877"/>
    <w:rsid w:val="004B5392"/>
    <w:rsid w:val="004C1601"/>
    <w:rsid w:val="004D3578"/>
    <w:rsid w:val="004E213A"/>
    <w:rsid w:val="004F0988"/>
    <w:rsid w:val="004F2142"/>
    <w:rsid w:val="004F3340"/>
    <w:rsid w:val="004F3E3D"/>
    <w:rsid w:val="00515AE4"/>
    <w:rsid w:val="00522A94"/>
    <w:rsid w:val="0053388B"/>
    <w:rsid w:val="00535773"/>
    <w:rsid w:val="00543E6C"/>
    <w:rsid w:val="005441F6"/>
    <w:rsid w:val="005619F8"/>
    <w:rsid w:val="0056236F"/>
    <w:rsid w:val="00565087"/>
    <w:rsid w:val="00572E14"/>
    <w:rsid w:val="00592192"/>
    <w:rsid w:val="005973BE"/>
    <w:rsid w:val="005A093B"/>
    <w:rsid w:val="005A3830"/>
    <w:rsid w:val="005A5986"/>
    <w:rsid w:val="005D1F6E"/>
    <w:rsid w:val="005D2E01"/>
    <w:rsid w:val="005D4385"/>
    <w:rsid w:val="005D7526"/>
    <w:rsid w:val="005E587F"/>
    <w:rsid w:val="005E69AE"/>
    <w:rsid w:val="005F529C"/>
    <w:rsid w:val="005F5987"/>
    <w:rsid w:val="00602A59"/>
    <w:rsid w:val="00602AEA"/>
    <w:rsid w:val="00607E3C"/>
    <w:rsid w:val="00614FDF"/>
    <w:rsid w:val="00623A42"/>
    <w:rsid w:val="006246A7"/>
    <w:rsid w:val="0062595A"/>
    <w:rsid w:val="0063543D"/>
    <w:rsid w:val="00647114"/>
    <w:rsid w:val="00655891"/>
    <w:rsid w:val="00667164"/>
    <w:rsid w:val="006A323F"/>
    <w:rsid w:val="006A6BD0"/>
    <w:rsid w:val="006B30D0"/>
    <w:rsid w:val="006C3D95"/>
    <w:rsid w:val="006E3C1C"/>
    <w:rsid w:val="006E5C86"/>
    <w:rsid w:val="006E73A3"/>
    <w:rsid w:val="00706528"/>
    <w:rsid w:val="007071A1"/>
    <w:rsid w:val="0071280F"/>
    <w:rsid w:val="00713C44"/>
    <w:rsid w:val="007317A7"/>
    <w:rsid w:val="00734A5B"/>
    <w:rsid w:val="0074026F"/>
    <w:rsid w:val="007429F6"/>
    <w:rsid w:val="00744E76"/>
    <w:rsid w:val="00745D32"/>
    <w:rsid w:val="007469C7"/>
    <w:rsid w:val="00752198"/>
    <w:rsid w:val="00752CCE"/>
    <w:rsid w:val="00753881"/>
    <w:rsid w:val="00756E85"/>
    <w:rsid w:val="00774DA4"/>
    <w:rsid w:val="00781F0F"/>
    <w:rsid w:val="00782EF3"/>
    <w:rsid w:val="00793DF9"/>
    <w:rsid w:val="00795206"/>
    <w:rsid w:val="007B600E"/>
    <w:rsid w:val="007F0F4A"/>
    <w:rsid w:val="0080104E"/>
    <w:rsid w:val="008028A4"/>
    <w:rsid w:val="00803BF8"/>
    <w:rsid w:val="00815191"/>
    <w:rsid w:val="00816B06"/>
    <w:rsid w:val="00820B25"/>
    <w:rsid w:val="0082139C"/>
    <w:rsid w:val="00830747"/>
    <w:rsid w:val="00855D88"/>
    <w:rsid w:val="008768CA"/>
    <w:rsid w:val="00887CC4"/>
    <w:rsid w:val="008A00F6"/>
    <w:rsid w:val="008B1DED"/>
    <w:rsid w:val="008C384C"/>
    <w:rsid w:val="008D4A90"/>
    <w:rsid w:val="008E3F25"/>
    <w:rsid w:val="008E7986"/>
    <w:rsid w:val="008E7A16"/>
    <w:rsid w:val="0090271F"/>
    <w:rsid w:val="00902E23"/>
    <w:rsid w:val="009114D7"/>
    <w:rsid w:val="0091348E"/>
    <w:rsid w:val="00917CCB"/>
    <w:rsid w:val="00942EC2"/>
    <w:rsid w:val="009767A4"/>
    <w:rsid w:val="00997130"/>
    <w:rsid w:val="00997C58"/>
    <w:rsid w:val="009B0E31"/>
    <w:rsid w:val="009B2322"/>
    <w:rsid w:val="009F0E8D"/>
    <w:rsid w:val="009F37B7"/>
    <w:rsid w:val="009F5E43"/>
    <w:rsid w:val="009F6A53"/>
    <w:rsid w:val="00A10F02"/>
    <w:rsid w:val="00A164B4"/>
    <w:rsid w:val="00A17802"/>
    <w:rsid w:val="00A26956"/>
    <w:rsid w:val="00A41E85"/>
    <w:rsid w:val="00A53724"/>
    <w:rsid w:val="00A67699"/>
    <w:rsid w:val="00A73129"/>
    <w:rsid w:val="00A817A7"/>
    <w:rsid w:val="00A82346"/>
    <w:rsid w:val="00A826A1"/>
    <w:rsid w:val="00A92BA1"/>
    <w:rsid w:val="00AC6BC6"/>
    <w:rsid w:val="00AD084F"/>
    <w:rsid w:val="00AE3797"/>
    <w:rsid w:val="00AF5FF7"/>
    <w:rsid w:val="00B132B8"/>
    <w:rsid w:val="00B15449"/>
    <w:rsid w:val="00B169CD"/>
    <w:rsid w:val="00B2481F"/>
    <w:rsid w:val="00B55C02"/>
    <w:rsid w:val="00B76B17"/>
    <w:rsid w:val="00B93086"/>
    <w:rsid w:val="00BA19ED"/>
    <w:rsid w:val="00BA300B"/>
    <w:rsid w:val="00BA4B8D"/>
    <w:rsid w:val="00BC0F7D"/>
    <w:rsid w:val="00BC4416"/>
    <w:rsid w:val="00BD401E"/>
    <w:rsid w:val="00BD658E"/>
    <w:rsid w:val="00BE3255"/>
    <w:rsid w:val="00BF128E"/>
    <w:rsid w:val="00C1496A"/>
    <w:rsid w:val="00C33079"/>
    <w:rsid w:val="00C43826"/>
    <w:rsid w:val="00C45231"/>
    <w:rsid w:val="00C57F61"/>
    <w:rsid w:val="00C65899"/>
    <w:rsid w:val="00C663E3"/>
    <w:rsid w:val="00C724D1"/>
    <w:rsid w:val="00C72833"/>
    <w:rsid w:val="00C74454"/>
    <w:rsid w:val="00C80F1D"/>
    <w:rsid w:val="00C93F40"/>
    <w:rsid w:val="00CA3D0C"/>
    <w:rsid w:val="00CB76BF"/>
    <w:rsid w:val="00CF20E3"/>
    <w:rsid w:val="00D309CC"/>
    <w:rsid w:val="00D42704"/>
    <w:rsid w:val="00D46431"/>
    <w:rsid w:val="00D56A52"/>
    <w:rsid w:val="00D57972"/>
    <w:rsid w:val="00D675A9"/>
    <w:rsid w:val="00D738D6"/>
    <w:rsid w:val="00D755EB"/>
    <w:rsid w:val="00D87E00"/>
    <w:rsid w:val="00D90D8F"/>
    <w:rsid w:val="00D9134D"/>
    <w:rsid w:val="00D92ACE"/>
    <w:rsid w:val="00D9381C"/>
    <w:rsid w:val="00DA7A03"/>
    <w:rsid w:val="00DB1818"/>
    <w:rsid w:val="00DB7CB6"/>
    <w:rsid w:val="00DC2F94"/>
    <w:rsid w:val="00DC309B"/>
    <w:rsid w:val="00DC4DA2"/>
    <w:rsid w:val="00DD275E"/>
    <w:rsid w:val="00DD4C17"/>
    <w:rsid w:val="00DE7963"/>
    <w:rsid w:val="00DE7EB0"/>
    <w:rsid w:val="00DF2B1F"/>
    <w:rsid w:val="00DF6189"/>
    <w:rsid w:val="00DF62CD"/>
    <w:rsid w:val="00E16509"/>
    <w:rsid w:val="00E275EE"/>
    <w:rsid w:val="00E44582"/>
    <w:rsid w:val="00E47D65"/>
    <w:rsid w:val="00E52814"/>
    <w:rsid w:val="00E72324"/>
    <w:rsid w:val="00E72ABE"/>
    <w:rsid w:val="00E77645"/>
    <w:rsid w:val="00EC2046"/>
    <w:rsid w:val="00EC4A25"/>
    <w:rsid w:val="00EE271A"/>
    <w:rsid w:val="00EE5AA7"/>
    <w:rsid w:val="00EE7E5C"/>
    <w:rsid w:val="00F01FD9"/>
    <w:rsid w:val="00F025A2"/>
    <w:rsid w:val="00F04712"/>
    <w:rsid w:val="00F11A80"/>
    <w:rsid w:val="00F21311"/>
    <w:rsid w:val="00F22EC7"/>
    <w:rsid w:val="00F325C8"/>
    <w:rsid w:val="00F4314B"/>
    <w:rsid w:val="00F62AEB"/>
    <w:rsid w:val="00F63457"/>
    <w:rsid w:val="00F653B8"/>
    <w:rsid w:val="00F70647"/>
    <w:rsid w:val="00F8674C"/>
    <w:rsid w:val="00F907DC"/>
    <w:rsid w:val="00FA1266"/>
    <w:rsid w:val="00FA442A"/>
    <w:rsid w:val="00FA63FF"/>
    <w:rsid w:val="00FC1192"/>
    <w:rsid w:val="00FE05D7"/>
    <w:rsid w:val="00FE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469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469C7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816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16B06"/>
  </w:style>
  <w:style w:type="character" w:customStyle="1" w:styleId="CommentTextChar">
    <w:name w:val="Comment Text Char"/>
    <w:basedOn w:val="DefaultParagraphFont"/>
    <w:link w:val="CommentText"/>
    <w:rsid w:val="00816B0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B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16B0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6CC04-4928-F64B-A53B-8AFD3FD87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89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5170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11</cp:revision>
  <cp:lastPrinted>2019-02-25T11:05:00Z</cp:lastPrinted>
  <dcterms:created xsi:type="dcterms:W3CDTF">2020-05-14T09:43:00Z</dcterms:created>
  <dcterms:modified xsi:type="dcterms:W3CDTF">2020-05-15T11:13:00Z</dcterms:modified>
  <cp:category/>
</cp:coreProperties>
</file>